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3864"/>
          <w:sz w:val="36"/>
          <w:szCs w:val="36"/>
        </w:rPr>
        <w:t xml:space="preserve">Miyoungka (미영카) — Conversational English Program</w:t>
      </w:r>
    </w:p>
    <w:p>
      <w:pPr>
        <w:spacing w:after="40"/>
      </w:pPr>
      <w:r>
        <w:rPr>
          <w:i/>
          <w:iCs/>
          <w:color w:val="595959"/>
          <w:sz w:val="22"/>
          <w:szCs w:val="22"/>
        </w:rPr>
        <w:t xml:space="preserve">Product Requirements Document</w:t>
      </w:r>
    </w:p>
    <w:p>
      <w:pPr>
        <w:spacing w:after="200"/>
      </w:pPr>
      <w:r>
        <w:rPr>
          <w:color w:val="595959"/>
          <w:sz w:val="18"/>
          <w:szCs w:val="18"/>
        </w:rPr>
        <w:t xml:space="preserve">Author: Daniel Choi, Project Coordinator (Product &amp; Growth)  •  Team: ISMP Korea  •  Status: Launched (Cohorts 1–2 complete)</w:t>
      </w:r>
    </w:p>
    <w:tbl>
      <w:tblPr>
        <w:tblW w:type="dxa" w:w="9350"/>
        <w:tblBorders>
          <w:top w:val="single" w:color="2E74B5" w:sz="4"/>
          <w:left w:val="single" w:color="2E74B5" w:sz="4"/>
          <w:bottom w:val="single" w:color="2E74B5" w:sz="4"/>
          <w:right w:val="single" w:color="2E74B5" w:sz="4"/>
          <w:insideH w:val="none" w:color="FFFFFF" w:sz="0"/>
          <w:insideV w:val="none" w:color="FFFFFF" w:sz="0"/>
        </w:tblBorders>
      </w:tblPr>
      <w:tblGrid>
        <w:gridCol w:w="9350"/>
      </w:tblGrid>
      <w:tr>
        <w:tc>
          <w:tcPr>
            <w:tcW w:type="dxa" w:w="9350"/>
            <w:shd w:fill="F2F2F2" w:color="auto" w:val="clear"/>
            <w:tcMar>
              <w:top w:type="dxa" w:w="140"/>
              <w:left w:type="dxa" w:w="200"/>
              <w:bottom w:type="dxa" w:w="140"/>
              <w:right w:type="dxa" w:w="200"/>
            </w:tcMar>
          </w:tcPr>
          <w:p>
            <w:pPr>
              <w:spacing w:after="60"/>
            </w:pPr>
            <w:r>
              <w:rPr>
                <w:b/>
                <w:bCs/>
                <w:color w:val="1F3864"/>
                <w:sz w:val="20"/>
                <w:szCs w:val="20"/>
              </w:rPr>
              <w:t xml:space="preserve">Note on this document</w:t>
            </w:r>
          </w:p>
          <w:p>
            <w:pPr>
              <w:spacing w:after="40"/>
            </w:pPr>
            <w:r>
              <w:rPr>
                <w:sz w:val="19"/>
                <w:szCs w:val="19"/>
              </w:rPr>
              <w:t xml:space="preserve">• This PRD is reconstructed from the real planning and results of the Miyoungka program for portfolio and interview-prep purposes. It's structured the way the original planning document would have been, with an added retrospective results section at the end.</w:t>
            </w:r>
          </w:p>
        </w:tc>
      </w:tr>
    </w:tbl>
    <w:p>
      <w:pPr>
        <w:pStyle w:val="Heading1"/>
        <w:pBdr>
          <w:bottom w:val="single" w:color="1F3864" w:sz="8" w:space="4"/>
        </w:pBdr>
        <w:spacing w:after="160" w:before="340"/>
      </w:pPr>
      <w:r>
        <w:rPr>
          <w:b/>
          <w:bCs/>
          <w:color w:val="1F3864"/>
          <w:sz w:val="27"/>
          <w:szCs w:val="27"/>
        </w:rPr>
        <w:t xml:space="preserve">1. Overview</w:t>
      </w:r>
    </w:p>
    <w:p>
      <w:pPr>
        <w:spacing w:after="130"/>
      </w:pPr>
      <w:r>
        <w:rPr>
          <w:sz w:val="20"/>
          <w:szCs w:val="20"/>
        </w:rPr>
        <w:t xml:space="preserve">Miyoungka (“American Café”) is a conversational English program built for Korean college students in Seoul. It pairs small groups of students with native English speakers for structured, informal conversation practice. This document lays out the plan for the initial pilot: the problem being solved, target users, go-to-market approach, success metrics, and phased cohort rollout.</w:t>
      </w:r>
    </w:p>
    <w:p>
      <w:pPr>
        <w:pStyle w:val="Heading1"/>
        <w:pBdr>
          <w:bottom w:val="single" w:color="1F3864" w:sz="8" w:space="4"/>
        </w:pBdr>
        <w:spacing w:after="160" w:before="340"/>
      </w:pPr>
      <w:r>
        <w:rPr>
          <w:b/>
          <w:bCs/>
          <w:color w:val="1F3864"/>
          <w:sz w:val="27"/>
          <w:szCs w:val="27"/>
        </w:rPr>
        <w:t xml:space="preserve">2. Problem Statement</w:t>
      </w:r>
    </w:p>
    <w:p>
      <w:pPr>
        <w:spacing w:after="130"/>
      </w:pPr>
      <w:r>
        <w:rPr>
          <w:sz w:val="20"/>
          <w:szCs w:val="20"/>
        </w:rPr>
        <w:t xml:space="preserve">Korean college students have limited accessible, structured opportunities to practice conversational English with native speakers. Existing options are largely private academies (hagwons), which are expensive and formal, or informal language exchange meetups, which are inconsistent and unreliable. This leaves a gap in the market for an affordable, community-based, structured conversational program aimed specifically at college students.</w:t>
      </w:r>
    </w:p>
    <w:p>
      <w:pPr>
        <w:pStyle w:val="Heading1"/>
        <w:pBdr>
          <w:bottom w:val="single" w:color="1F3864" w:sz="8" w:space="4"/>
        </w:pBdr>
        <w:spacing w:after="160" w:before="340"/>
      </w:pPr>
      <w:r>
        <w:rPr>
          <w:b/>
          <w:bCs/>
          <w:color w:val="1F3864"/>
          <w:sz w:val="27"/>
          <w:szCs w:val="27"/>
        </w:rPr>
        <w:t xml:space="preserve">3. Goals &amp; Success Metrics</w:t>
      </w:r>
    </w:p>
    <w:p>
      <w:pPr>
        <w:spacing w:after="100"/>
      </w:pPr>
      <w:r>
        <w:rPr>
          <w:b/>
          <w:bCs/>
          <w:sz w:val="20"/>
          <w:szCs w:val="20"/>
        </w:rPr>
        <w:t xml:space="preserve">Primary goal: </w:t>
      </w:r>
      <w:r>
        <w:rPr>
          <w:sz w:val="20"/>
          <w:szCs w:val="20"/>
        </w:rPr>
        <w:t xml:space="preserve">Validate demand and product-market fit for a paid, small-group conversational English program among Korean college students in Seoul.</w:t>
      </w:r>
    </w:p>
    <w:p>
      <w:pPr>
        <w:pStyle w:val="Heading2"/>
        <w:spacing w:after="90" w:before="200"/>
      </w:pPr>
      <w:r>
        <w:rPr>
          <w:b/>
          <w:bCs/>
          <w:color w:val="2E74B5"/>
          <w:sz w:val="22"/>
          <w:szCs w:val="22"/>
        </w:rPr>
        <w:t xml:space="preserve">North Star metric</w:t>
      </w:r>
    </w:p>
    <w:p>
      <w:pPr>
        <w:spacing w:after="130"/>
      </w:pPr>
      <w:r>
        <w:rPr>
          <w:sz w:val="20"/>
          <w:szCs w:val="20"/>
        </w:rPr>
        <w:t xml:space="preserve">Cohort-over-cohort signup growth — the clearest signal of whether the program is building real pull rather than one-time interest.</w:t>
      </w:r>
    </w:p>
    <w:p>
      <w:pPr>
        <w:pStyle w:val="Heading2"/>
        <w:spacing w:after="90" w:before="200"/>
      </w:pPr>
      <w:r>
        <w:rPr>
          <w:b/>
          <w:bCs/>
          <w:color w:val="2E74B5"/>
          <w:sz w:val="22"/>
          <w:szCs w:val="22"/>
        </w:rPr>
        <w:t xml:space="preserve">Supporting metrics</w:t>
      </w:r>
    </w:p>
    <w:p>
      <w:pPr>
        <w:pStyle w:val="ListParagraph"/>
        <w:numPr>
          <w:ilvl w:val="0"/>
          <w:numId w:val="2"/>
        </w:numPr>
        <w:spacing w:after="70"/>
      </w:pPr>
      <w:r>
        <w:rPr>
          <w:sz w:val="20"/>
          <w:szCs w:val="20"/>
        </w:rPr>
        <w:t xml:space="preserve">Funnel conversion rate (Instagram click → paid signup)</w:t>
      </w:r>
    </w:p>
    <w:p>
      <w:pPr>
        <w:pStyle w:val="ListParagraph"/>
        <w:numPr>
          <w:ilvl w:val="0"/>
          <w:numId w:val="2"/>
        </w:numPr>
        <w:spacing w:after="70"/>
      </w:pPr>
      <w:r>
        <w:rPr>
          <w:sz w:val="20"/>
          <w:szCs w:val="20"/>
        </w:rPr>
        <w:t xml:space="preserve">Session attendance rate, as a proxy for retention and satisfaction</w:t>
      </w:r>
    </w:p>
    <w:p>
      <w:pPr>
        <w:pStyle w:val="ListParagraph"/>
        <w:numPr>
          <w:ilvl w:val="0"/>
          <w:numId w:val="2"/>
        </w:numPr>
        <w:spacing w:after="70"/>
      </w:pPr>
      <w:r>
        <w:rPr>
          <w:sz w:val="20"/>
          <w:szCs w:val="20"/>
        </w:rPr>
        <w:t xml:space="preserve">Profit per user, to validate the pricing and cost model</w:t>
      </w:r>
    </w:p>
    <w:p>
      <w:pPr>
        <w:pStyle w:val="ListParagraph"/>
        <w:numPr>
          <w:ilvl w:val="0"/>
          <w:numId w:val="2"/>
        </w:numPr>
        <w:spacing w:after="70"/>
      </w:pPr>
      <w:r>
        <w:rPr>
          <w:sz w:val="20"/>
          <w:szCs w:val="20"/>
        </w:rPr>
        <w:t xml:space="preserve">Repeat / ambassador conversion rate, as a signal of genuine product-market fit</w:t>
      </w:r>
    </w:p>
    <w:p>
      <w:pPr>
        <w:pStyle w:val="Heading2"/>
        <w:spacing w:after="90" w:before="200"/>
      </w:pPr>
      <w:r>
        <w:rPr>
          <w:b/>
          <w:bCs/>
          <w:color w:val="2E74B5"/>
          <w:sz w:val="22"/>
          <w:szCs w:val="22"/>
        </w:rPr>
        <w:t xml:space="preserve">Pre-launch targets (hypothesis)</w:t>
      </w:r>
    </w:p>
    <w:p>
      <w:pPr>
        <w:pStyle w:val="ListParagraph"/>
        <w:numPr>
          <w:ilvl w:val="0"/>
          <w:numId w:val="2"/>
        </w:numPr>
        <w:spacing w:after="70"/>
      </w:pPr>
      <w:r>
        <w:rPr>
          <w:sz w:val="20"/>
          <w:szCs w:val="20"/>
        </w:rPr>
        <w:t xml:space="preserve">20–30 signups for Cohort 1</w:t>
      </w:r>
    </w:p>
    <w:p>
      <w:pPr>
        <w:pStyle w:val="ListParagraph"/>
        <w:numPr>
          <w:ilvl w:val="0"/>
          <w:numId w:val="2"/>
        </w:numPr>
        <w:spacing w:after="70"/>
      </w:pPr>
      <w:r>
        <w:rPr>
          <w:sz w:val="20"/>
          <w:szCs w:val="20"/>
        </w:rPr>
        <w:t xml:space="preserve">5%+ end-to-end funnel conversion rate</w:t>
      </w:r>
    </w:p>
    <w:p>
      <w:pPr>
        <w:pStyle w:val="ListParagraph"/>
        <w:numPr>
          <w:ilvl w:val="0"/>
          <w:numId w:val="2"/>
        </w:numPr>
        <w:spacing w:after="70"/>
      </w:pPr>
      <w:r>
        <w:rPr>
          <w:sz w:val="20"/>
          <w:szCs w:val="20"/>
        </w:rPr>
        <w:t xml:space="preserve">40%+ session attendance rate</w:t>
      </w:r>
    </w:p>
    <w:p>
      <w:pPr>
        <w:pStyle w:val="Heading1"/>
        <w:pBdr>
          <w:bottom w:val="single" w:color="1F3864" w:sz="8" w:space="4"/>
        </w:pBdr>
        <w:spacing w:after="160" w:before="340"/>
      </w:pPr>
      <w:r>
        <w:rPr>
          <w:b/>
          <w:bCs/>
          <w:color w:val="1F3864"/>
          <w:sz w:val="27"/>
          <w:szCs w:val="27"/>
        </w:rPr>
        <w:t xml:space="preserve">4. Target Users</w:t>
      </w:r>
    </w:p>
    <w:p>
      <w:pPr>
        <w:spacing w:after="100"/>
      </w:pPr>
      <w:r>
        <w:rPr>
          <w:b/>
          <w:bCs/>
          <w:sz w:val="20"/>
          <w:szCs w:val="20"/>
        </w:rPr>
        <w:t xml:space="preserve">Primary segment: </w:t>
      </w:r>
      <w:r>
        <w:rPr>
          <w:sz w:val="20"/>
          <w:szCs w:val="20"/>
        </w:rPr>
        <w:t xml:space="preserve">Korean college students in Seoul, generally ages 18–28. Note: the ideal age range skews differently by gender than a typical U.S. college population, because male students' availability is affected by mandatory military service (roughly ages 20–28 for men vs. 18–25 for women).</w:t>
      </w:r>
    </w:p>
    <w:tbl>
      <w:tblPr>
        <w:tblW w:type="dxa" w:w="9350"/>
        <w:tblBorders>
          <w:top w:val="single" w:color="2E74B5" w:sz="4"/>
          <w:left w:val="single" w:color="2E74B5" w:sz="4"/>
          <w:bottom w:val="single" w:color="2E74B5" w:sz="4"/>
          <w:right w:val="single" w:color="2E74B5" w:sz="4"/>
          <w:insideH w:val="none" w:color="FFFFFF" w:sz="0"/>
          <w:insideV w:val="none" w:color="FFFFFF" w:sz="0"/>
        </w:tblBorders>
      </w:tblPr>
      <w:tblGrid>
        <w:gridCol w:w="9350"/>
      </w:tblGrid>
      <w:tr>
        <w:tc>
          <w:tcPr>
            <w:tcW w:type="dxa" w:w="9350"/>
            <w:shd w:fill="EAF1FA" w:color="auto" w:val="clear"/>
            <w:tcMar>
              <w:top w:type="dxa" w:w="140"/>
              <w:left w:type="dxa" w:w="200"/>
              <w:bottom w:type="dxa" w:w="140"/>
              <w:right w:type="dxa" w:w="200"/>
            </w:tcMar>
          </w:tcPr>
          <w:p>
            <w:pPr>
              <w:spacing w:after="60"/>
            </w:pPr>
            <w:r>
              <w:rPr>
                <w:b/>
                <w:bCs/>
                <w:color w:val="1F3864"/>
                <w:sz w:val="20"/>
                <w:szCs w:val="20"/>
              </w:rPr>
              <w:t xml:space="preserve">Persona snapshot</w:t>
            </w:r>
          </w:p>
          <w:p>
            <w:pPr>
              <w:spacing w:after="40"/>
            </w:pPr>
            <w:r>
              <w:rPr>
                <w:sz w:val="19"/>
                <w:szCs w:val="19"/>
              </w:rPr>
              <w:t xml:space="preserve">• “Min-jun,” 22, business major. Wants conversational fluency for internship interviews and study-abroad applications. Has tried language exchange apps but found them inconsistent and low-commitment. Price-sensitive but willing to pay for a structured, reliable experience.</w:t>
            </w:r>
          </w:p>
        </w:tc>
      </w:tr>
    </w:tbl>
    <w:p>
      <w:pPr>
        <w:pStyle w:val="Heading1"/>
        <w:pBdr>
          <w:bottom w:val="single" w:color="1F3864" w:sz="8" w:space="4"/>
        </w:pBdr>
        <w:spacing w:after="160" w:before="340"/>
      </w:pPr>
      <w:r>
        <w:rPr>
          <w:b/>
          <w:bCs/>
          <w:color w:val="1F3864"/>
          <w:sz w:val="27"/>
          <w:szCs w:val="27"/>
        </w:rPr>
        <w:t xml:space="preserve">5. User Journey</w:t>
      </w:r>
    </w:p>
    <w:p>
      <w:pPr>
        <w:spacing w:after="130"/>
      </w:pPr>
      <w:r>
        <w:rPr>
          <w:i/>
          <w:iCs/>
          <w:sz w:val="20"/>
          <w:szCs w:val="20"/>
        </w:rPr>
        <w:t xml:space="preserve">Instagram post/ad  →  Profile visit  →  Linktree  →  Landing page  →  Google Form signup  →  Payment  →  Onboarding (Notion hub)  →  First session</w:t>
      </w:r>
    </w:p>
    <w:p>
      <w:pPr>
        <w:pStyle w:val="Heading1"/>
        <w:pBdr>
          <w:bottom w:val="single" w:color="1F3864" w:sz="8" w:space="4"/>
        </w:pBdr>
        <w:spacing w:after="160" w:before="340"/>
      </w:pPr>
      <w:r>
        <w:rPr>
          <w:b/>
          <w:bCs/>
          <w:color w:val="1F3864"/>
          <w:sz w:val="27"/>
          <w:szCs w:val="27"/>
        </w:rPr>
        <w:t xml:space="preserve">6. Requirements</w:t>
      </w:r>
    </w:p>
    <w:p>
      <w:pPr>
        <w:pStyle w:val="Heading2"/>
        <w:spacing w:after="90" w:before="200"/>
      </w:pPr>
      <w:r>
        <w:rPr>
          <w:b/>
          <w:bCs/>
          <w:color w:val="2E74B5"/>
          <w:sz w:val="22"/>
          <w:szCs w:val="22"/>
        </w:rPr>
        <w:t xml:space="preserve">Must have</w:t>
      </w:r>
    </w:p>
    <w:p>
      <w:pPr>
        <w:pStyle w:val="ListParagraph"/>
        <w:numPr>
          <w:ilvl w:val="0"/>
          <w:numId w:val="2"/>
        </w:numPr>
        <w:spacing w:after="70"/>
      </w:pPr>
      <w:r>
        <w:rPr>
          <w:sz w:val="20"/>
          <w:szCs w:val="20"/>
        </w:rPr>
        <w:t xml:space="preserve">Instagram presence with a consistent visual brand and posting cadence</w:t>
      </w:r>
    </w:p>
    <w:p>
      <w:pPr>
        <w:pStyle w:val="ListParagraph"/>
        <w:numPr>
          <w:ilvl w:val="0"/>
          <w:numId w:val="2"/>
        </w:numPr>
        <w:spacing w:after="70"/>
      </w:pPr>
      <w:r>
        <w:rPr>
          <w:sz w:val="20"/>
          <w:szCs w:val="20"/>
        </w:rPr>
        <w:t xml:space="preserve">Linktree connecting Instagram traffic to the signup funnel</w:t>
      </w:r>
    </w:p>
    <w:p>
      <w:pPr>
        <w:pStyle w:val="ListParagraph"/>
        <w:numPr>
          <w:ilvl w:val="0"/>
          <w:numId w:val="2"/>
        </w:numPr>
        <w:spacing w:after="70"/>
      </w:pPr>
      <w:r>
        <w:rPr>
          <w:sz w:val="20"/>
          <w:szCs w:val="20"/>
        </w:rPr>
        <w:t xml:space="preserve">Landing page explaining the program's value proposition and pricing</w:t>
      </w:r>
    </w:p>
    <w:p>
      <w:pPr>
        <w:pStyle w:val="ListParagraph"/>
        <w:numPr>
          <w:ilvl w:val="0"/>
          <w:numId w:val="2"/>
        </w:numPr>
        <w:spacing w:after="70"/>
      </w:pPr>
      <w:r>
        <w:rPr>
          <w:sz w:val="20"/>
          <w:szCs w:val="20"/>
        </w:rPr>
        <w:t xml:space="preserve">Google Form + payment collection for signups</w:t>
      </w:r>
    </w:p>
    <w:p>
      <w:pPr>
        <w:pStyle w:val="ListParagraph"/>
        <w:numPr>
          <w:ilvl w:val="0"/>
          <w:numId w:val="2"/>
        </w:numPr>
        <w:spacing w:after="70"/>
      </w:pPr>
      <w:r>
        <w:rPr>
          <w:sz w:val="20"/>
          <w:szCs w:val="20"/>
        </w:rPr>
        <w:t xml:space="preserve">Notion onboarding hub for enrolled students (schedule, materials, community)</w:t>
      </w:r>
    </w:p>
    <w:p>
      <w:pPr>
        <w:pStyle w:val="Heading2"/>
        <w:spacing w:after="90" w:before="200"/>
      </w:pPr>
      <w:r>
        <w:rPr>
          <w:b/>
          <w:bCs/>
          <w:color w:val="2E74B5"/>
          <w:sz w:val="22"/>
          <w:szCs w:val="22"/>
        </w:rPr>
        <w:t xml:space="preserve">Should have</w:t>
      </w:r>
    </w:p>
    <w:p>
      <w:pPr>
        <w:pStyle w:val="ListParagraph"/>
        <w:numPr>
          <w:ilvl w:val="0"/>
          <w:numId w:val="2"/>
        </w:numPr>
        <w:spacing w:after="70"/>
      </w:pPr>
      <w:r>
        <w:rPr>
          <w:sz w:val="20"/>
          <w:szCs w:val="20"/>
        </w:rPr>
        <w:t xml:space="preserve">A modest paid Instagram ad campaign targeting the core demographic</w:t>
      </w:r>
    </w:p>
    <w:p>
      <w:pPr>
        <w:pStyle w:val="ListParagraph"/>
        <w:numPr>
          <w:ilvl w:val="0"/>
          <w:numId w:val="2"/>
        </w:numPr>
        <w:spacing w:after="70"/>
      </w:pPr>
      <w:r>
        <w:rPr>
          <w:sz w:val="20"/>
          <w:szCs w:val="20"/>
        </w:rPr>
        <w:t xml:space="preserve">A referral or “ambassador” mechanic to convert satisfied students into repeat participants</w:t>
      </w:r>
    </w:p>
    <w:p>
      <w:pPr>
        <w:pStyle w:val="Heading2"/>
        <w:spacing w:after="90" w:before="200"/>
      </w:pPr>
      <w:r>
        <w:rPr>
          <w:b/>
          <w:bCs/>
          <w:color w:val="2E74B5"/>
          <w:sz w:val="22"/>
          <w:szCs w:val="22"/>
        </w:rPr>
        <w:t xml:space="preserve">Could have (future iterations)</w:t>
      </w:r>
    </w:p>
    <w:p>
      <w:pPr>
        <w:pStyle w:val="ListParagraph"/>
        <w:numPr>
          <w:ilvl w:val="0"/>
          <w:numId w:val="2"/>
        </w:numPr>
        <w:spacing w:after="70"/>
      </w:pPr>
      <w:r>
        <w:rPr>
          <w:sz w:val="20"/>
          <w:szCs w:val="20"/>
        </w:rPr>
        <w:t xml:space="preserve">Automated reminders to improve session attendance</w:t>
      </w:r>
    </w:p>
    <w:p>
      <w:pPr>
        <w:pStyle w:val="ListParagraph"/>
        <w:numPr>
          <w:ilvl w:val="0"/>
          <w:numId w:val="2"/>
        </w:numPr>
        <w:spacing w:after="70"/>
      </w:pPr>
      <w:r>
        <w:rPr>
          <w:sz w:val="20"/>
          <w:szCs w:val="20"/>
        </w:rPr>
        <w:t xml:space="preserve">Tiered pricing (e.g., group sessions vs. 1:1 conversation practice)</w:t>
      </w:r>
    </w:p>
    <w:p>
      <w:pPr>
        <w:pStyle w:val="Heading2"/>
        <w:spacing w:after="90" w:before="200"/>
      </w:pPr>
      <w:r>
        <w:rPr>
          <w:b/>
          <w:bCs/>
          <w:color w:val="2E74B5"/>
          <w:sz w:val="22"/>
          <w:szCs w:val="22"/>
        </w:rPr>
        <w:t xml:space="preserve">Won't have (v1)</w:t>
      </w:r>
    </w:p>
    <w:p>
      <w:pPr>
        <w:pStyle w:val="ListParagraph"/>
        <w:numPr>
          <w:ilvl w:val="0"/>
          <w:numId w:val="2"/>
        </w:numPr>
        <w:spacing w:after="70"/>
      </w:pPr>
      <w:r>
        <w:rPr>
          <w:sz w:val="20"/>
          <w:szCs w:val="20"/>
        </w:rPr>
        <w:t xml:space="preserve">A native mobile app</w:t>
      </w:r>
    </w:p>
    <w:p>
      <w:pPr>
        <w:pStyle w:val="ListParagraph"/>
        <w:numPr>
          <w:ilvl w:val="0"/>
          <w:numId w:val="2"/>
        </w:numPr>
        <w:spacing w:after="70"/>
      </w:pPr>
      <w:r>
        <w:rPr>
          <w:sz w:val="20"/>
          <w:szCs w:val="20"/>
        </w:rPr>
        <w:t xml:space="preserve">An in-house learning management system</w:t>
      </w:r>
    </w:p>
    <w:p>
      <w:pPr>
        <w:pStyle w:val="Heading1"/>
        <w:pBdr>
          <w:bottom w:val="single" w:color="1F3864" w:sz="8" w:space="4"/>
        </w:pBdr>
        <w:spacing w:after="160" w:before="340"/>
      </w:pPr>
      <w:r>
        <w:rPr>
          <w:b/>
          <w:bCs/>
          <w:color w:val="1F3864"/>
          <w:sz w:val="27"/>
          <w:szCs w:val="27"/>
        </w:rPr>
        <w:t xml:space="preserve">7. Go-to-Market Plan</w:t>
      </w:r>
    </w:p>
    <w:tbl>
      <w:tblPr>
        <w:tblW w:type="dxa" w:w="9350"/>
        <w:tblBorders>
          <w:top w:val="single" w:color="BFBFBF" w:sz="2"/>
          <w:left w:val="single" w:color="BFBFBF" w:sz="2"/>
          <w:bottom w:val="single" w:color="BFBFBF" w:sz="2"/>
          <w:right w:val="single" w:color="BFBFBF" w:sz="2"/>
          <w:insideH w:val="single" w:color="BFBFBF" w:sz="2"/>
          <w:insideV w:val="single" w:color="BFBFBF" w:sz="2"/>
        </w:tblBorders>
      </w:tblPr>
      <w:tblGrid>
        <w:gridCol w:w="2800"/>
        <w:gridCol w:w="6550"/>
      </w:tblGrid>
      <w:tr>
        <w:trPr>
          <w:tblHeader/>
        </w:trPr>
        <w:tc>
          <w:tcPr>
            <w:tcW w:type="dxa" w:w="2800"/>
            <w:shd w:fill="1F3864" w:color="auto" w:val="clear"/>
            <w:tcMar>
              <w:top w:type="dxa" w:w="90"/>
              <w:left w:type="dxa" w:w="110"/>
              <w:bottom w:type="dxa" w:w="90"/>
              <w:right w:type="dxa" w:w="110"/>
            </w:tcMar>
          </w:tcPr>
          <w:p>
            <w:r>
              <w:rPr>
                <w:b/>
                <w:bCs/>
                <w:color w:val="FFFFFF"/>
                <w:sz w:val="18"/>
                <w:szCs w:val="18"/>
              </w:rPr>
              <w:t xml:space="preserve">Channel</w:t>
            </w:r>
          </w:p>
        </w:tc>
        <w:tc>
          <w:tcPr>
            <w:tcW w:type="dxa" w:w="6550"/>
            <w:shd w:fill="1F3864" w:color="auto" w:val="clear"/>
            <w:tcMar>
              <w:top w:type="dxa" w:w="90"/>
              <w:left w:type="dxa" w:w="110"/>
              <w:bottom w:type="dxa" w:w="90"/>
              <w:right w:type="dxa" w:w="110"/>
            </w:tcMar>
          </w:tcPr>
          <w:p>
            <w:r>
              <w:rPr>
                <w:b/>
                <w:bCs/>
                <w:color w:val="FFFFFF"/>
                <w:sz w:val="18"/>
                <w:szCs w:val="18"/>
              </w:rPr>
              <w:t xml:space="preserve">Approach</w:t>
            </w:r>
          </w:p>
        </w:tc>
      </w:tr>
      <w:tr>
        <w:tc>
          <w:tcPr>
            <w:tcW w:type="dxa" w:w="2800"/>
            <w:shd w:fill="F7F9FC" w:color="auto" w:val="clear"/>
            <w:tcMar>
              <w:top w:type="dxa" w:w="90"/>
              <w:left w:type="dxa" w:w="110"/>
              <w:bottom w:type="dxa" w:w="90"/>
              <w:right w:type="dxa" w:w="110"/>
            </w:tcMar>
          </w:tcPr>
          <w:p>
            <w:r>
              <w:rPr>
                <w:sz w:val="18"/>
                <w:szCs w:val="18"/>
              </w:rPr>
              <w:t xml:space="preserve">Organic Instagram</w:t>
            </w:r>
          </w:p>
        </w:tc>
        <w:tc>
          <w:tcPr>
            <w:tcW w:type="dxa" w:w="6550"/>
            <w:shd w:fill="F7F9FC" w:color="auto" w:val="clear"/>
            <w:tcMar>
              <w:top w:type="dxa" w:w="90"/>
              <w:left w:type="dxa" w:w="110"/>
              <w:bottom w:type="dxa" w:w="90"/>
              <w:right w:type="dxa" w:w="110"/>
            </w:tcMar>
          </w:tcPr>
          <w:p>
            <w:r>
              <w:rPr>
                <w:sz w:val="18"/>
                <w:szCs w:val="18"/>
              </w:rPr>
              <w:t xml:space="preserve">Mix of reels and static posts; reprioritize toward reels once early data shows which format performs better</w:t>
            </w:r>
          </w:p>
        </w:tc>
      </w:tr>
      <w:tr>
        <w:tc>
          <w:tcPr>
            <w:tcW w:type="dxa" w:w="2800"/>
            <w:shd w:fill="FFFFFF" w:color="auto" w:val="clear"/>
            <w:tcMar>
              <w:top w:type="dxa" w:w="90"/>
              <w:left w:type="dxa" w:w="110"/>
              <w:bottom w:type="dxa" w:w="90"/>
              <w:right w:type="dxa" w:w="110"/>
            </w:tcMar>
          </w:tcPr>
          <w:p>
            <w:r>
              <w:rPr>
                <w:sz w:val="18"/>
                <w:szCs w:val="18"/>
              </w:rPr>
              <w:t xml:space="preserve">Paid Instagram ads</w:t>
            </w:r>
          </w:p>
        </w:tc>
        <w:tc>
          <w:tcPr>
            <w:tcW w:type="dxa" w:w="6550"/>
            <w:shd w:fill="FFFFFF" w:color="auto" w:val="clear"/>
            <w:tcMar>
              <w:top w:type="dxa" w:w="90"/>
              <w:left w:type="dxa" w:w="110"/>
              <w:bottom w:type="dxa" w:w="90"/>
              <w:right w:type="dxa" w:w="110"/>
            </w:tcMar>
          </w:tcPr>
          <w:p>
            <w:r>
              <w:rPr>
                <w:sz w:val="18"/>
                <w:szCs w:val="18"/>
              </w:rPr>
              <w:t xml:space="preserve">Small always-on budget, iterating on targeting, creative, and messaging based on weekly performance</w:t>
            </w:r>
          </w:p>
        </w:tc>
      </w:tr>
      <w:tr>
        <w:tc>
          <w:tcPr>
            <w:tcW w:type="dxa" w:w="2800"/>
            <w:shd w:fill="F7F9FC" w:color="auto" w:val="clear"/>
            <w:tcMar>
              <w:top w:type="dxa" w:w="90"/>
              <w:left w:type="dxa" w:w="110"/>
              <w:bottom w:type="dxa" w:w="90"/>
              <w:right w:type="dxa" w:w="110"/>
            </w:tcMar>
          </w:tcPr>
          <w:p>
            <w:r>
              <w:rPr>
                <w:sz w:val="18"/>
                <w:szCs w:val="18"/>
              </w:rPr>
              <w:t xml:space="preserve">Campus outreach</w:t>
            </w:r>
          </w:p>
        </w:tc>
        <w:tc>
          <w:tcPr>
            <w:tcW w:type="dxa" w:w="6550"/>
            <w:shd w:fill="F7F9FC" w:color="auto" w:val="clear"/>
            <w:tcMar>
              <w:top w:type="dxa" w:w="90"/>
              <w:left w:type="dxa" w:w="110"/>
              <w:bottom w:type="dxa" w:w="90"/>
              <w:right w:type="dxa" w:w="110"/>
            </w:tcMar>
          </w:tcPr>
          <w:p>
            <w:r>
              <w:rPr>
                <w:sz w:val="18"/>
                <w:szCs w:val="18"/>
              </w:rPr>
              <w:t xml:space="preserve">Informal postering and flyering near target departments and dorms</w:t>
            </w:r>
          </w:p>
        </w:tc>
      </w:tr>
      <w:tr>
        <w:tc>
          <w:tcPr>
            <w:tcW w:type="dxa" w:w="2800"/>
            <w:shd w:fill="FFFFFF" w:color="auto" w:val="clear"/>
            <w:tcMar>
              <w:top w:type="dxa" w:w="90"/>
              <w:left w:type="dxa" w:w="110"/>
              <w:bottom w:type="dxa" w:w="90"/>
              <w:right w:type="dxa" w:w="110"/>
            </w:tcMar>
          </w:tcPr>
          <w:p>
            <w:r>
              <w:rPr>
                <w:sz w:val="18"/>
                <w:szCs w:val="18"/>
              </w:rPr>
              <w:t xml:space="preserve">Pricing</w:t>
            </w:r>
          </w:p>
        </w:tc>
        <w:tc>
          <w:tcPr>
            <w:tcW w:type="dxa" w:w="6550"/>
            <w:shd w:fill="FFFFFF" w:color="auto" w:val="clear"/>
            <w:tcMar>
              <w:top w:type="dxa" w:w="90"/>
              <w:left w:type="dxa" w:w="110"/>
              <w:bottom w:type="dxa" w:w="90"/>
              <w:right w:type="dxa" w:w="110"/>
            </w:tcMar>
          </w:tcPr>
          <w:p>
            <w:r>
              <w:rPr>
                <w:sz w:val="18"/>
                <w:szCs w:val="18"/>
              </w:rPr>
              <w:t xml:space="preserve">Set an initial price point, then adjust between cohorts based on conversion and attendance data</w:t>
            </w:r>
          </w:p>
        </w:tc>
      </w:tr>
    </w:tbl>
    <w:p>
      <w:pPr>
        <w:pStyle w:val="Heading1"/>
        <w:pBdr>
          <w:bottom w:val="single" w:color="1F3864" w:sz="8" w:space="4"/>
        </w:pBdr>
        <w:spacing w:after="160" w:before="340"/>
      </w:pPr>
      <w:r>
        <w:rPr>
          <w:b/>
          <w:bCs/>
          <w:color w:val="1F3864"/>
          <w:sz w:val="27"/>
          <w:szCs w:val="27"/>
        </w:rPr>
        <w:t xml:space="preserve">8. Risks &amp; Open Questions</w:t>
      </w:r>
    </w:p>
    <w:p>
      <w:pPr>
        <w:pStyle w:val="ListParagraph"/>
        <w:numPr>
          <w:ilvl w:val="0"/>
          <w:numId w:val="2"/>
        </w:numPr>
        <w:spacing w:after="70"/>
      </w:pPr>
      <w:r>
        <w:rPr>
          <w:sz w:val="20"/>
          <w:szCs w:val="20"/>
        </w:rPr>
        <w:t xml:space="preserve">Unknown price sensitivity of the target segment going in — pricing may need to move after Cohort 1</w:t>
      </w:r>
    </w:p>
    <w:p>
      <w:pPr>
        <w:pStyle w:val="ListParagraph"/>
        <w:numPr>
          <w:ilvl w:val="0"/>
          <w:numId w:val="2"/>
        </w:numPr>
        <w:spacing w:after="70"/>
      </w:pPr>
      <w:r>
        <w:rPr>
          <w:sz w:val="20"/>
          <w:szCs w:val="20"/>
        </w:rPr>
        <w:t xml:space="preserve">Unknown optimal session format and cadence for retention</w:t>
      </w:r>
    </w:p>
    <w:p>
      <w:pPr>
        <w:pStyle w:val="ListParagraph"/>
        <w:numPr>
          <w:ilvl w:val="0"/>
          <w:numId w:val="2"/>
        </w:numPr>
        <w:spacing w:after="70"/>
      </w:pPr>
      <w:r>
        <w:rPr>
          <w:sz w:val="20"/>
          <w:szCs w:val="20"/>
        </w:rPr>
        <w:t xml:space="preserve">Military service timing constrains male student availability in ways that don't map to a typical Western college calendar</w:t>
      </w:r>
    </w:p>
    <w:p>
      <w:pPr>
        <w:pStyle w:val="ListParagraph"/>
        <w:numPr>
          <w:ilvl w:val="0"/>
          <w:numId w:val="2"/>
        </w:numPr>
        <w:spacing w:after="70"/>
      </w:pPr>
      <w:r>
        <w:rPr>
          <w:sz w:val="20"/>
          <w:szCs w:val="20"/>
        </w:rPr>
        <w:t xml:space="preserve">Paid ad spend may not convert efficiently before the brand has any organic awareness or social proof</w:t>
      </w:r>
    </w:p>
    <w:p>
      <w:pPr>
        <w:pStyle w:val="Heading1"/>
        <w:pBdr>
          <w:bottom w:val="single" w:color="1F3864" w:sz="8" w:space="4"/>
        </w:pBdr>
        <w:spacing w:after="160" w:before="340"/>
      </w:pPr>
      <w:r>
        <w:rPr>
          <w:b/>
          <w:bCs/>
          <w:color w:val="1F3864"/>
          <w:sz w:val="27"/>
          <w:szCs w:val="27"/>
        </w:rPr>
        <w:t xml:space="preserve">9. Cohort Rollout Plan</w:t>
      </w:r>
    </w:p>
    <w:p>
      <w:pPr>
        <w:spacing w:after="130"/>
      </w:pPr>
      <w:r>
        <w:rPr>
          <w:sz w:val="20"/>
          <w:szCs w:val="20"/>
        </w:rPr>
        <w:t xml:space="preserve">Cohort 1 (pilot, small and intentionally imperfect) → collect signal on messaging, pricing, and attendance → iterate → Cohort 2 (scale test) → evaluate full viability before committing to Cohort 3 and beyond.</w:t>
      </w:r>
    </w:p>
    <w:p>
      <w:pPr>
        <w:pStyle w:val="Heading1"/>
        <w:pBdr>
          <w:bottom w:val="single" w:color="1F3864" w:sz="8" w:space="4"/>
        </w:pBdr>
        <w:spacing w:after="160" w:before="340"/>
      </w:pPr>
      <w:r>
        <w:rPr>
          <w:b/>
          <w:bCs/>
          <w:color w:val="1F3864"/>
          <w:sz w:val="27"/>
          <w:szCs w:val="27"/>
        </w:rPr>
        <w:t xml:space="preserve">10. Retrospective: Results After Cohorts 1–2</w:t>
      </w:r>
    </w:p>
    <w:p>
      <w:pPr>
        <w:spacing w:after="130"/>
      </w:pPr>
      <w:r>
        <w:rPr>
          <w:sz w:val="20"/>
          <w:szCs w:val="20"/>
        </w:rPr>
        <w:t xml:space="preserve">The section below reflects what actually happened once the program launched — included here to show the plan against the outcome.</w:t>
      </w:r>
    </w:p>
    <w:tbl>
      <w:tblPr>
        <w:tblW w:type="dxa" w:w="9350"/>
        <w:tblBorders>
          <w:top w:val="single" w:color="BFBFBF" w:sz="2"/>
          <w:left w:val="single" w:color="BFBFBF" w:sz="2"/>
          <w:bottom w:val="single" w:color="BFBFBF" w:sz="2"/>
          <w:right w:val="single" w:color="BFBFBF" w:sz="2"/>
          <w:insideH w:val="single" w:color="BFBFBF" w:sz="2"/>
          <w:insideV w:val="single" w:color="BFBFBF" w:sz="2"/>
        </w:tblBorders>
      </w:tblPr>
      <w:tblGrid>
        <w:gridCol w:w="3200"/>
        <w:gridCol w:w="6150"/>
      </w:tblGrid>
      <w:tr>
        <w:trPr>
          <w:tblHeader/>
        </w:trPr>
        <w:tc>
          <w:tcPr>
            <w:tcW w:type="dxa" w:w="3200"/>
            <w:shd w:fill="1F3864" w:color="auto" w:val="clear"/>
            <w:tcMar>
              <w:top w:type="dxa" w:w="90"/>
              <w:left w:type="dxa" w:w="110"/>
              <w:bottom w:type="dxa" w:w="90"/>
              <w:right w:type="dxa" w:w="110"/>
            </w:tcMar>
          </w:tcPr>
          <w:p>
            <w:r>
              <w:rPr>
                <w:b/>
                <w:bCs/>
                <w:color w:val="FFFFFF"/>
                <w:sz w:val="18"/>
                <w:szCs w:val="18"/>
              </w:rPr>
              <w:t xml:space="preserve">Metric</w:t>
            </w:r>
          </w:p>
        </w:tc>
        <w:tc>
          <w:tcPr>
            <w:tcW w:type="dxa" w:w="6150"/>
            <w:shd w:fill="1F3864" w:color="auto" w:val="clear"/>
            <w:tcMar>
              <w:top w:type="dxa" w:w="90"/>
              <w:left w:type="dxa" w:w="110"/>
              <w:bottom w:type="dxa" w:w="90"/>
              <w:right w:type="dxa" w:w="110"/>
            </w:tcMar>
          </w:tcPr>
          <w:p>
            <w:r>
              <w:rPr>
                <w:b/>
                <w:bCs/>
                <w:color w:val="FFFFFF"/>
                <w:sz w:val="18"/>
                <w:szCs w:val="18"/>
              </w:rPr>
              <w:t xml:space="preserve">Result</w:t>
            </w:r>
          </w:p>
        </w:tc>
      </w:tr>
      <w:tr>
        <w:tc>
          <w:tcPr>
            <w:tcW w:type="dxa" w:w="3200"/>
            <w:shd w:fill="F7F9FC" w:color="auto" w:val="clear"/>
            <w:tcMar>
              <w:top w:type="dxa" w:w="90"/>
              <w:left w:type="dxa" w:w="110"/>
              <w:bottom w:type="dxa" w:w="90"/>
              <w:right w:type="dxa" w:w="110"/>
            </w:tcMar>
          </w:tcPr>
          <w:p>
            <w:r>
              <w:rPr>
                <w:sz w:val="18"/>
                <w:szCs w:val="18"/>
              </w:rPr>
              <w:t xml:space="preserve">Instagram growth</w:t>
            </w:r>
          </w:p>
        </w:tc>
        <w:tc>
          <w:tcPr>
            <w:tcW w:type="dxa" w:w="6150"/>
            <w:shd w:fill="F7F9FC" w:color="auto" w:val="clear"/>
            <w:tcMar>
              <w:top w:type="dxa" w:w="90"/>
              <w:left w:type="dxa" w:w="110"/>
              <w:bottom w:type="dxa" w:w="90"/>
              <w:right w:type="dxa" w:w="110"/>
            </w:tcMar>
          </w:tcPr>
          <w:p>
            <w:r>
              <w:rPr>
                <w:sz w:val="18"/>
                <w:szCs w:val="18"/>
              </w:rPr>
              <w:t xml:space="preserve">0 → 1,200 followers in 4 months</w:t>
            </w:r>
          </w:p>
        </w:tc>
      </w:tr>
      <w:tr>
        <w:tc>
          <w:tcPr>
            <w:tcW w:type="dxa" w:w="3200"/>
            <w:shd w:fill="FFFFFF" w:color="auto" w:val="clear"/>
            <w:tcMar>
              <w:top w:type="dxa" w:w="90"/>
              <w:left w:type="dxa" w:w="110"/>
              <w:bottom w:type="dxa" w:w="90"/>
              <w:right w:type="dxa" w:w="110"/>
            </w:tcMar>
          </w:tcPr>
          <w:p>
            <w:r>
              <w:rPr>
                <w:sz w:val="18"/>
                <w:szCs w:val="18"/>
              </w:rPr>
              <w:t xml:space="preserve">Linktree performance</w:t>
            </w:r>
          </w:p>
        </w:tc>
        <w:tc>
          <w:tcPr>
            <w:tcW w:type="dxa" w:w="6150"/>
            <w:shd w:fill="FFFFFF" w:color="auto" w:val="clear"/>
            <w:tcMar>
              <w:top w:type="dxa" w:w="90"/>
              <w:left w:type="dxa" w:w="110"/>
              <w:bottom w:type="dxa" w:w="90"/>
              <w:right w:type="dxa" w:w="110"/>
            </w:tcMar>
          </w:tcPr>
          <w:p>
            <w:r>
              <w:rPr>
                <w:sz w:val="18"/>
                <w:szCs w:val="18"/>
              </w:rPr>
              <w:t xml:space="preserve">1,405 views, 1,281 clicks (~91.2% CTR)</w:t>
            </w:r>
          </w:p>
        </w:tc>
      </w:tr>
      <w:tr>
        <w:tc>
          <w:tcPr>
            <w:tcW w:type="dxa" w:w="3200"/>
            <w:shd w:fill="F7F9FC" w:color="auto" w:val="clear"/>
            <w:tcMar>
              <w:top w:type="dxa" w:w="90"/>
              <w:left w:type="dxa" w:w="110"/>
              <w:bottom w:type="dxa" w:w="90"/>
              <w:right w:type="dxa" w:w="110"/>
            </w:tcMar>
          </w:tcPr>
          <w:p>
            <w:r>
              <w:rPr>
                <w:sz w:val="18"/>
                <w:szCs w:val="18"/>
              </w:rPr>
              <w:t xml:space="preserve">Cohort 1 signups</w:t>
            </w:r>
          </w:p>
        </w:tc>
        <w:tc>
          <w:tcPr>
            <w:tcW w:type="dxa" w:w="6150"/>
            <w:shd w:fill="F7F9FC" w:color="auto" w:val="clear"/>
            <w:tcMar>
              <w:top w:type="dxa" w:w="90"/>
              <w:left w:type="dxa" w:w="110"/>
              <w:bottom w:type="dxa" w:w="90"/>
              <w:right w:type="dxa" w:w="110"/>
            </w:tcMar>
          </w:tcPr>
          <w:p>
            <w:r>
              <w:rPr>
                <w:sz w:val="18"/>
                <w:szCs w:val="18"/>
              </w:rPr>
              <w:t xml:space="preserve">31</w:t>
            </w:r>
          </w:p>
        </w:tc>
      </w:tr>
      <w:tr>
        <w:tc>
          <w:tcPr>
            <w:tcW w:type="dxa" w:w="3200"/>
            <w:shd w:fill="FFFFFF" w:color="auto" w:val="clear"/>
            <w:tcMar>
              <w:top w:type="dxa" w:w="90"/>
              <w:left w:type="dxa" w:w="110"/>
              <w:bottom w:type="dxa" w:w="90"/>
              <w:right w:type="dxa" w:w="110"/>
            </w:tcMar>
          </w:tcPr>
          <w:p>
            <w:r>
              <w:rPr>
                <w:sz w:val="18"/>
                <w:szCs w:val="18"/>
              </w:rPr>
              <w:t xml:space="preserve">Cohort 2 signups</w:t>
            </w:r>
          </w:p>
        </w:tc>
        <w:tc>
          <w:tcPr>
            <w:tcW w:type="dxa" w:w="6150"/>
            <w:shd w:fill="FFFFFF" w:color="auto" w:val="clear"/>
            <w:tcMar>
              <w:top w:type="dxa" w:w="90"/>
              <w:left w:type="dxa" w:w="110"/>
              <w:bottom w:type="dxa" w:w="90"/>
              <w:right w:type="dxa" w:w="110"/>
            </w:tcMar>
          </w:tcPr>
          <w:p>
            <w:r>
              <w:rPr>
                <w:sz w:val="18"/>
                <w:szCs w:val="18"/>
              </w:rPr>
              <w:t xml:space="preserve">63 (+103% vs. Cohort 1)</w:t>
            </w:r>
          </w:p>
        </w:tc>
      </w:tr>
      <w:tr>
        <w:tc>
          <w:tcPr>
            <w:tcW w:type="dxa" w:w="3200"/>
            <w:shd w:fill="F7F9FC" w:color="auto" w:val="clear"/>
            <w:tcMar>
              <w:top w:type="dxa" w:w="90"/>
              <w:left w:type="dxa" w:w="110"/>
              <w:bottom w:type="dxa" w:w="90"/>
              <w:right w:type="dxa" w:w="110"/>
            </w:tcMar>
          </w:tcPr>
          <w:p>
            <w:r>
              <w:rPr>
                <w:sz w:val="18"/>
                <w:szCs w:val="18"/>
              </w:rPr>
              <w:t xml:space="preserve">End-to-end funnel conversion</w:t>
            </w:r>
          </w:p>
        </w:tc>
        <w:tc>
          <w:tcPr>
            <w:tcW w:type="dxa" w:w="6150"/>
            <w:shd w:fill="F7F9FC" w:color="auto" w:val="clear"/>
            <w:tcMar>
              <w:top w:type="dxa" w:w="90"/>
              <w:left w:type="dxa" w:w="110"/>
              <w:bottom w:type="dxa" w:w="90"/>
              <w:right w:type="dxa" w:w="110"/>
            </w:tcMar>
          </w:tcPr>
          <w:p>
            <w:r>
              <w:rPr>
                <w:sz w:val="18"/>
                <w:szCs w:val="18"/>
              </w:rPr>
              <w:t xml:space="preserve">~7.3%</w:t>
            </w:r>
          </w:p>
        </w:tc>
      </w:tr>
      <w:tr>
        <w:tc>
          <w:tcPr>
            <w:tcW w:type="dxa" w:w="3200"/>
            <w:shd w:fill="FFFFFF" w:color="auto" w:val="clear"/>
            <w:tcMar>
              <w:top w:type="dxa" w:w="90"/>
              <w:left w:type="dxa" w:w="110"/>
              <w:bottom w:type="dxa" w:w="90"/>
              <w:right w:type="dxa" w:w="110"/>
            </w:tcMar>
          </w:tcPr>
          <w:p>
            <w:r>
              <w:rPr>
                <w:sz w:val="18"/>
                <w:szCs w:val="18"/>
              </w:rPr>
              <w:t xml:space="preserve">Total users / paid users</w:t>
            </w:r>
          </w:p>
        </w:tc>
        <w:tc>
          <w:tcPr>
            <w:tcW w:type="dxa" w:w="6150"/>
            <w:shd w:fill="FFFFFF" w:color="auto" w:val="clear"/>
            <w:tcMar>
              <w:top w:type="dxa" w:w="90"/>
              <w:left w:type="dxa" w:w="110"/>
              <w:bottom w:type="dxa" w:w="90"/>
              <w:right w:type="dxa" w:w="110"/>
            </w:tcMar>
          </w:tcPr>
          <w:p>
            <w:r>
              <w:rPr>
                <w:sz w:val="18"/>
                <w:szCs w:val="18"/>
              </w:rPr>
              <w:t xml:space="preserve">94 total, 73 paid</w:t>
            </w:r>
          </w:p>
        </w:tc>
      </w:tr>
      <w:tr>
        <w:tc>
          <w:tcPr>
            <w:tcW w:type="dxa" w:w="3200"/>
            <w:shd w:fill="F7F9FC" w:color="auto" w:val="clear"/>
            <w:tcMar>
              <w:top w:type="dxa" w:w="90"/>
              <w:left w:type="dxa" w:w="110"/>
              <w:bottom w:type="dxa" w:w="90"/>
              <w:right w:type="dxa" w:w="110"/>
            </w:tcMar>
          </w:tcPr>
          <w:p>
            <w:r>
              <w:rPr>
                <w:sz w:val="18"/>
                <w:szCs w:val="18"/>
              </w:rPr>
              <w:t xml:space="preserve">Paid conversion quality</w:t>
            </w:r>
          </w:p>
        </w:tc>
        <w:tc>
          <w:tcPr>
            <w:tcW w:type="dxa" w:w="6150"/>
            <w:shd w:fill="F7F9FC" w:color="auto" w:val="clear"/>
            <w:tcMar>
              <w:top w:type="dxa" w:w="90"/>
              <w:left w:type="dxa" w:w="110"/>
              <w:bottom w:type="dxa" w:w="90"/>
              <w:right w:type="dxa" w:w="110"/>
            </w:tcMar>
          </w:tcPr>
          <w:p>
            <w:r>
              <w:rPr>
                <w:sz w:val="18"/>
                <w:szCs w:val="18"/>
              </w:rPr>
              <w:t xml:space="preserve">Improved 74% → 79% through targeting and messaging optimization</w:t>
            </w:r>
          </w:p>
        </w:tc>
      </w:tr>
      <w:tr>
        <w:tc>
          <w:tcPr>
            <w:tcW w:type="dxa" w:w="3200"/>
            <w:shd w:fill="FFFFFF" w:color="auto" w:val="clear"/>
            <w:tcMar>
              <w:top w:type="dxa" w:w="90"/>
              <w:left w:type="dxa" w:w="110"/>
              <w:bottom w:type="dxa" w:w="90"/>
              <w:right w:type="dxa" w:w="110"/>
            </w:tcMar>
          </w:tcPr>
          <w:p>
            <w:r>
              <w:rPr>
                <w:sz w:val="18"/>
                <w:szCs w:val="18"/>
              </w:rPr>
              <w:t xml:space="preserve">Profit per user</w:t>
            </w:r>
          </w:p>
        </w:tc>
        <w:tc>
          <w:tcPr>
            <w:tcW w:type="dxa" w:w="6150"/>
            <w:shd w:fill="FFFFFF" w:color="auto" w:val="clear"/>
            <w:tcMar>
              <w:top w:type="dxa" w:w="90"/>
              <w:left w:type="dxa" w:w="110"/>
              <w:bottom w:type="dxa" w:w="90"/>
              <w:right w:type="dxa" w:w="110"/>
            </w:tcMar>
          </w:tcPr>
          <w:p>
            <w:r>
              <w:rPr>
                <w:sz w:val="18"/>
                <w:szCs w:val="18"/>
              </w:rPr>
              <w:t xml:space="preserve">~$26</w:t>
            </w:r>
          </w:p>
        </w:tc>
      </w:tr>
      <w:tr>
        <w:tc>
          <w:tcPr>
            <w:tcW w:type="dxa" w:w="3200"/>
            <w:shd w:fill="F7F9FC" w:color="auto" w:val="clear"/>
            <w:tcMar>
              <w:top w:type="dxa" w:w="90"/>
              <w:left w:type="dxa" w:w="110"/>
              <w:bottom w:type="dxa" w:w="90"/>
              <w:right w:type="dxa" w:w="110"/>
            </w:tcMar>
          </w:tcPr>
          <w:p>
            <w:r>
              <w:rPr>
                <w:sz w:val="18"/>
                <w:szCs w:val="18"/>
              </w:rPr>
              <w:t xml:space="preserve">Session attendance</w:t>
            </w:r>
          </w:p>
        </w:tc>
        <w:tc>
          <w:tcPr>
            <w:tcW w:type="dxa" w:w="6150"/>
            <w:shd w:fill="F7F9FC" w:color="auto" w:val="clear"/>
            <w:tcMar>
              <w:top w:type="dxa" w:w="90"/>
              <w:left w:type="dxa" w:w="110"/>
              <w:bottom w:type="dxa" w:w="90"/>
              <w:right w:type="dxa" w:w="110"/>
            </w:tcMar>
          </w:tcPr>
          <w:p>
            <w:r>
              <w:rPr>
                <w:sz w:val="18"/>
                <w:szCs w:val="18"/>
              </w:rPr>
              <w:t xml:space="preserve">~50% of users attended 50%+ of sessions</w:t>
            </w:r>
          </w:p>
        </w:tc>
      </w:tr>
      <w:tr>
        <w:tc>
          <w:tcPr>
            <w:tcW w:type="dxa" w:w="3200"/>
            <w:shd w:fill="FFFFFF" w:color="auto" w:val="clear"/>
            <w:tcMar>
              <w:top w:type="dxa" w:w="90"/>
              <w:left w:type="dxa" w:w="110"/>
              <w:bottom w:type="dxa" w:w="90"/>
              <w:right w:type="dxa" w:w="110"/>
            </w:tcMar>
          </w:tcPr>
          <w:p>
            <w:r>
              <w:rPr>
                <w:sz w:val="18"/>
                <w:szCs w:val="18"/>
              </w:rPr>
              <w:t xml:space="preserve">Repeat users</w:t>
            </w:r>
          </w:p>
        </w:tc>
        <w:tc>
          <w:tcPr>
            <w:tcW w:type="dxa" w:w="6150"/>
            <w:shd w:fill="FFFFFF" w:color="auto" w:val="clear"/>
            <w:tcMar>
              <w:top w:type="dxa" w:w="90"/>
              <w:left w:type="dxa" w:w="110"/>
              <w:bottom w:type="dxa" w:w="90"/>
              <w:right w:type="dxa" w:w="110"/>
            </w:tcMar>
          </w:tcPr>
          <w:p>
            <w:r>
              <w:rPr>
                <w:sz w:val="18"/>
                <w:szCs w:val="18"/>
              </w:rPr>
              <w:t xml:space="preserve">5 converted into Student Ambassadors</w:t>
            </w:r>
          </w:p>
        </w:tc>
      </w:tr>
    </w:tbl>
    <w:p>
      <w:pPr>
        <w:pStyle w:val="Heading1"/>
        <w:pBdr>
          <w:bottom w:val="single" w:color="1F3864" w:sz="8" w:space="4"/>
        </w:pBdr>
        <w:spacing w:after="160" w:before="340"/>
      </w:pPr>
      <w:r>
        <w:rPr>
          <w:b/>
          <w:bCs/>
          <w:color w:val="1F3864"/>
          <w:sz w:val="27"/>
          <w:szCs w:val="27"/>
        </w:rPr>
        <w:t xml:space="preserve">11. Learnings &amp; Next Steps</w:t>
      </w:r>
    </w:p>
    <w:p>
      <w:pPr>
        <w:pStyle w:val="ListParagraph"/>
        <w:numPr>
          <w:ilvl w:val="0"/>
          <w:numId w:val="2"/>
        </w:numPr>
        <w:spacing w:after="70"/>
      </w:pPr>
      <w:r>
        <w:rPr>
          <w:sz w:val="20"/>
          <w:szCs w:val="20"/>
        </w:rPr>
        <w:t xml:space="preserve">Reels significantly outperformed static posts (roughly 750% higher engagement) — worth shifting content mix further in that direction for future cohorts</w:t>
      </w:r>
    </w:p>
    <w:p>
      <w:pPr>
        <w:pStyle w:val="ListParagraph"/>
        <w:numPr>
          <w:ilvl w:val="0"/>
          <w:numId w:val="2"/>
        </w:numPr>
        <w:spacing w:after="70"/>
      </w:pPr>
      <w:r>
        <w:rPr>
          <w:sz w:val="20"/>
          <w:szCs w:val="20"/>
        </w:rPr>
        <w:t xml:space="preserve">Age and availability windows differ meaningfully by gender due to military service — segment outreach and messaging timing accordingly</w:t>
      </w:r>
    </w:p>
    <w:p>
      <w:pPr>
        <w:pStyle w:val="ListParagraph"/>
        <w:numPr>
          <w:ilvl w:val="0"/>
          <w:numId w:val="2"/>
        </w:numPr>
        <w:spacing w:after="70"/>
      </w:pPr>
      <w:r>
        <w:rPr>
          <w:sz w:val="20"/>
          <w:szCs w:val="20"/>
        </w:rPr>
        <w:t xml:space="preserve">Small, iterative changes to pricing and messaging moved conversion measurably — build a lightweight, recurring test-and-learn cadence into every future cohort rather than treating launch as a one-time event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2026-07-11T21:51:25.502Z</dcterms:created>
  <dcterms:modified xsi:type="dcterms:W3CDTF">2026-07-11T21:51:25.503Z</dcterms:modified>
</cp:coreProperties>
</file>

<file path=docProps/custom.xml><?xml version="1.0" encoding="utf-8"?>
<Properties xmlns="http://schemas.openxmlformats.org/officeDocument/2006/custom-properties" xmlns:vt="http://schemas.openxmlformats.org/officeDocument/2006/docPropsVTypes"/>
</file>